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3554FB" w:rsidRPr="00680831" w:rsidTr="00323086">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3554FB" w:rsidRPr="00680831" w:rsidTr="00323086">
              <w:trPr>
                <w:trHeight w:val="555"/>
                <w:tblCellSpacing w:w="0" w:type="dxa"/>
              </w:trPr>
              <w:tc>
                <w:tcPr>
                  <w:tcW w:w="0" w:type="auto"/>
                  <w:vAlign w:val="center"/>
                  <w:hideMark/>
                </w:tcPr>
                <w:p w:rsidR="003554FB" w:rsidRPr="00680831" w:rsidRDefault="003554FB" w:rsidP="00323086">
                  <w:pPr>
                    <w:widowControl/>
                    <w:spacing w:before="300" w:after="225" w:line="432" w:lineRule="auto"/>
                    <w:jc w:val="center"/>
                    <w:rPr>
                      <w:rFonts w:ascii="Arial" w:hAnsi="Arial" w:cs="Arial"/>
                      <w:b/>
                      <w:bCs/>
                      <w:color w:val="185895"/>
                      <w:kern w:val="0"/>
                      <w:sz w:val="36"/>
                      <w:szCs w:val="36"/>
                    </w:rPr>
                  </w:pPr>
                  <w:r w:rsidRPr="00680831">
                    <w:rPr>
                      <w:rFonts w:ascii="Arial" w:hAnsi="Arial" w:cs="Arial"/>
                      <w:b/>
                      <w:bCs/>
                      <w:color w:val="185895"/>
                      <w:kern w:val="0"/>
                      <w:sz w:val="36"/>
                      <w:szCs w:val="36"/>
                    </w:rPr>
                    <w:t>关于个人所得税法修改后有关优惠政策衔接问题的通知</w:t>
                  </w:r>
                </w:p>
              </w:tc>
            </w:tr>
          </w:tbl>
          <w:p w:rsidR="003554FB" w:rsidRPr="00680831" w:rsidRDefault="003554FB" w:rsidP="00323086">
            <w:pPr>
              <w:widowControl/>
              <w:spacing w:line="432" w:lineRule="auto"/>
              <w:jc w:val="left"/>
              <w:rPr>
                <w:rFonts w:ascii="Arial" w:hAnsi="Arial" w:cs="Arial"/>
                <w:vanish/>
                <w:kern w:val="0"/>
                <w:sz w:val="18"/>
                <w:szCs w:val="18"/>
              </w:rPr>
            </w:pPr>
          </w:p>
          <w:tbl>
            <w:tblPr>
              <w:tblW w:w="5000" w:type="pct"/>
              <w:tblCellSpacing w:w="0" w:type="dxa"/>
              <w:tblCellMar>
                <w:left w:w="0" w:type="dxa"/>
                <w:right w:w="0" w:type="dxa"/>
              </w:tblCellMar>
              <w:tblLook w:val="04A0"/>
            </w:tblPr>
            <w:tblGrid>
              <w:gridCol w:w="8306"/>
            </w:tblGrid>
            <w:tr w:rsidR="003554FB" w:rsidRPr="00680831" w:rsidTr="00323086">
              <w:trPr>
                <w:trHeight w:val="15"/>
                <w:tblCellSpacing w:w="0" w:type="dxa"/>
              </w:trPr>
              <w:tc>
                <w:tcPr>
                  <w:tcW w:w="0" w:type="auto"/>
                  <w:vAlign w:val="center"/>
                  <w:hideMark/>
                </w:tcPr>
                <w:p w:rsidR="003554FB" w:rsidRPr="00680831" w:rsidRDefault="003554FB" w:rsidP="00323086">
                  <w:pPr>
                    <w:widowControl/>
                    <w:spacing w:line="15" w:lineRule="atLeast"/>
                    <w:jc w:val="left"/>
                    <w:rPr>
                      <w:rFonts w:ascii="Arial" w:hAnsi="Arial" w:cs="Arial"/>
                      <w:kern w:val="0"/>
                      <w:sz w:val="18"/>
                      <w:szCs w:val="18"/>
                    </w:rPr>
                  </w:pPr>
                  <w:r w:rsidRPr="00680831">
                    <w:rPr>
                      <w:rFonts w:ascii="Arial" w:hAnsi="Arial" w:cs="Arial"/>
                      <w:kern w:val="0"/>
                      <w:sz w:val="18"/>
                      <w:szCs w:val="18"/>
                    </w:rPr>
                    <w:pict>
                      <v:rect id="_x0000_i1025" style="width:525pt;height:.75pt" o:hrpct="0" o:hralign="center" o:hrstd="t" o:hrnoshade="t" o:hr="t" fillcolor="#99c2e2" stroked="f"/>
                    </w:pict>
                  </w:r>
                </w:p>
              </w:tc>
            </w:tr>
          </w:tbl>
          <w:p w:rsidR="003554FB" w:rsidRPr="00680831" w:rsidRDefault="003554FB" w:rsidP="00323086">
            <w:pPr>
              <w:widowControl/>
              <w:spacing w:line="432" w:lineRule="auto"/>
              <w:jc w:val="left"/>
              <w:rPr>
                <w:rFonts w:ascii="Arial" w:hAnsi="Arial" w:cs="Arial"/>
                <w:vanish/>
                <w:kern w:val="0"/>
                <w:sz w:val="18"/>
                <w:szCs w:val="18"/>
              </w:rPr>
            </w:pPr>
          </w:p>
          <w:tbl>
            <w:tblPr>
              <w:tblW w:w="5000" w:type="pct"/>
              <w:tblCellSpacing w:w="0" w:type="dxa"/>
              <w:tblCellMar>
                <w:left w:w="0" w:type="dxa"/>
                <w:right w:w="0" w:type="dxa"/>
              </w:tblCellMar>
              <w:tblLook w:val="04A0"/>
            </w:tblPr>
            <w:tblGrid>
              <w:gridCol w:w="8306"/>
            </w:tblGrid>
            <w:tr w:rsidR="003554FB" w:rsidRPr="00680831" w:rsidTr="00323086">
              <w:trPr>
                <w:tblCellSpacing w:w="0" w:type="dxa"/>
              </w:trPr>
              <w:tc>
                <w:tcPr>
                  <w:tcW w:w="0" w:type="auto"/>
                  <w:vAlign w:val="center"/>
                  <w:hideMark/>
                </w:tcPr>
                <w:p w:rsidR="003554FB" w:rsidRPr="00680831" w:rsidRDefault="003554FB" w:rsidP="00323086">
                  <w:pPr>
                    <w:widowControl/>
                    <w:spacing w:line="432" w:lineRule="auto"/>
                    <w:jc w:val="left"/>
                    <w:rPr>
                      <w:rFonts w:ascii="Arial" w:hAnsi="Arial" w:cs="Arial"/>
                      <w:kern w:val="0"/>
                      <w:sz w:val="24"/>
                      <w:szCs w:val="24"/>
                    </w:rPr>
                  </w:pPr>
                </w:p>
              </w:tc>
            </w:tr>
          </w:tbl>
          <w:p w:rsidR="003554FB" w:rsidRPr="00680831" w:rsidRDefault="003554FB" w:rsidP="00323086">
            <w:pPr>
              <w:widowControl/>
              <w:spacing w:line="432" w:lineRule="auto"/>
              <w:jc w:val="left"/>
              <w:rPr>
                <w:rFonts w:ascii="Arial" w:hAnsi="Arial" w:cs="Arial"/>
                <w:kern w:val="0"/>
                <w:sz w:val="18"/>
                <w:szCs w:val="18"/>
              </w:rPr>
            </w:pPr>
          </w:p>
        </w:tc>
      </w:tr>
      <w:tr w:rsidR="003554FB" w:rsidRPr="00680831" w:rsidTr="00323086">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3554FB" w:rsidRPr="00680831" w:rsidTr="00323086">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3554FB" w:rsidRPr="00680831" w:rsidTr="00323086">
                    <w:trPr>
                      <w:tblCellSpacing w:w="0" w:type="dxa"/>
                      <w:jc w:val="center"/>
                    </w:trPr>
                    <w:tc>
                      <w:tcPr>
                        <w:tcW w:w="0" w:type="auto"/>
                        <w:vAlign w:val="center"/>
                        <w:hideMark/>
                      </w:tcPr>
                      <w:p w:rsidR="003554FB" w:rsidRPr="00680831" w:rsidRDefault="003554FB" w:rsidP="00323086">
                        <w:pPr>
                          <w:widowControl/>
                          <w:spacing w:before="100" w:beforeAutospacing="1" w:after="240"/>
                          <w:jc w:val="center"/>
                          <w:rPr>
                            <w:rFonts w:ascii="宋体" w:hAnsi="宋体" w:cs="Arial"/>
                            <w:kern w:val="0"/>
                            <w:sz w:val="24"/>
                            <w:szCs w:val="24"/>
                          </w:rPr>
                        </w:pPr>
                        <w:r w:rsidRPr="00680831">
                          <w:rPr>
                            <w:rFonts w:ascii="宋体" w:hAnsi="宋体" w:cs="Arial" w:hint="eastAsia"/>
                            <w:kern w:val="0"/>
                            <w:sz w:val="24"/>
                            <w:szCs w:val="24"/>
                          </w:rPr>
                          <w:t>财税〔2018〕164号</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各省、自治区、直辖市、计划单列市财政厅（局），国家税务总局各省、自治区、直辖市、计划单列市税务局，新疆生产建设兵团财政局：</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为贯彻落实修改后的《中华人民共和国个人所得税法》，现将个人所得税优惠政策衔接有关事项通知如下：</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w:t>
                        </w:r>
                        <w:r w:rsidRPr="00680831">
                          <w:rPr>
                            <w:rFonts w:ascii="宋体" w:hAnsi="宋体" w:cs="Arial" w:hint="eastAsia"/>
                            <w:b/>
                            <w:bCs/>
                            <w:kern w:val="0"/>
                            <w:sz w:val="24"/>
                            <w:szCs w:val="24"/>
                          </w:rPr>
                          <w:t>一、关于全年一次性奖金、中央企业负责人年度绩效薪金延期兑现收入和任期奖励的政策</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一）居民个人取得全年一次性奖金，符合《国家税务总局关于调整个人取得全年一次性奖金等计算征收个人所得税方法问题的通知》（国税发〔2005〕9号）规定的，在2021年12月31日前，不并入当年综合所得，以全年一次性奖金收入除以12个月得到的数额，按照本通知所附按月换算后的综合所得税率表（以下简称月度税率表），确定适用税率和速算扣除数，单独计算纳税。计算公式为：</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应纳税额＝全年一次性奖金收入×适用税率－速算扣除数</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居民个人取得全年一次性奖金，也可以选择并入当年综合所得计算纳税。</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自2022年1月1日起，居民个人取得全年一次性奖金，应并入当年综合所得计算缴纳个人所得税。</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二）中央企业负责人取得年度绩效薪金延期兑现收入和任期奖励，符合《国家税务总局关于中央企业负责人年度绩效薪金延期兑现收入和任期奖励征收个人所得税问题的通知》（国税发〔2007〕118号）规定的，在2021年12月31日前，参照本通知第一条第（一）项执行；2022年1月1日之后的政策另行明确。</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w:t>
                        </w:r>
                        <w:r w:rsidRPr="00680831">
                          <w:rPr>
                            <w:rFonts w:ascii="宋体" w:hAnsi="宋体" w:cs="Arial" w:hint="eastAsia"/>
                            <w:b/>
                            <w:bCs/>
                            <w:kern w:val="0"/>
                            <w:sz w:val="24"/>
                            <w:szCs w:val="24"/>
                          </w:rPr>
                          <w:t>二、关于上市公司股权激励的政策</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（一）居民个人取得股票期权、股票增值权、限制性股票、股权奖励等股权激励（以下简称股权激励），符合《财政部 国家税</w:t>
                        </w:r>
                        <w:r w:rsidRPr="00680831">
                          <w:rPr>
                            <w:rFonts w:ascii="宋体" w:hAnsi="宋体" w:cs="Arial" w:hint="eastAsia"/>
                            <w:kern w:val="0"/>
                            <w:sz w:val="24"/>
                            <w:szCs w:val="24"/>
                          </w:rPr>
                          <w:lastRenderedPageBreak/>
                          <w:t>务总局关于个人股票期权所得征收个人所得税问题的通知》（财税〔2005〕35号）、《财政部国家税务总局关于股票增值权所得和限制性股票所得征收个人所得税有关问题的通知》（财税〔2009〕5号）、《财政部 国家税务总局关于将国家自主创新示范区有关税收试点政策推广到全国范围实施的通知》（财税〔2015〕116号）第四条、《财政部国家税务总局关于完善股权激励和技术入股有关所得税政策的通知》（财税〔2016〕101号）第四条第（一）项规定的相关条件的，在2021年12月31日前，不并入当年综合所得，全额单独适用综合所得税率表，计算纳税。计算公式为：</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应纳税额＝股权激励收入×适用税率－速算扣除数</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（二）居民个人一个纳税年度内取得两次以上（含两次）股权激励的，应合并按本通知第二条第（一）项规定计算纳税。</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（三）2022年1月1日之后的股权激励政策另行明确。</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w:t>
                        </w:r>
                        <w:r w:rsidRPr="00680831">
                          <w:rPr>
                            <w:rFonts w:ascii="宋体" w:hAnsi="宋体" w:cs="Arial" w:hint="eastAsia"/>
                            <w:b/>
                            <w:bCs/>
                            <w:kern w:val="0"/>
                            <w:sz w:val="24"/>
                            <w:szCs w:val="24"/>
                          </w:rPr>
                          <w:t>三、关于保险营销员、证券经纪人佣金收入的政策</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保险营销员、证券经纪人取得的佣金收入，属于劳务报酬所得，以不含增值税的收入减除20%的费用后的余额为收入额，收入额减去展业成本以及附加税费后，并入当年综合所得，计算缴纳个人所得税。保险营销员、证券经纪人展业成本按照收入额的25%计算。</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扣缴义务人向保险营销员、证券经纪人支付佣金收入时，应按照《个人所得税扣缴申报管理办法（试行）》（国家税务总局公告2018年第61号）规定的累计预扣法计算预扣税款。</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w:t>
                        </w:r>
                        <w:r w:rsidRPr="00680831">
                          <w:rPr>
                            <w:rFonts w:ascii="宋体" w:hAnsi="宋体" w:cs="Arial" w:hint="eastAsia"/>
                            <w:b/>
                            <w:bCs/>
                            <w:kern w:val="0"/>
                            <w:sz w:val="24"/>
                            <w:szCs w:val="24"/>
                          </w:rPr>
                          <w:t>四、关于个人领取企业年金、职业年金的政策</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个人达到国家规定的退休年龄，领取的企业年金、职业年金，符合《财政部 人力资源社会保障部 国家税务总局关于企业年金 职业年金个人所得税有关问题的通知》（财税〔2013〕103号）规定的，不并入综合所得，全额单独计算应纳税款。其中按月领取的，适用月度税率表计算纳税；按季领取的，平均分摊计入各月，按每月领取额适用月度税率表计算纳税；按年领取的，适用综合所得税率表计算纳税。</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个人因出境定居而一次性领取的年金个人账户资金，或个人死亡后，其指定的受益人或法定继承人一次性领取的年金个人账户余额，适用综合所得税率表计算纳税。对个人除上述特殊原因外一次性领取年金个人账户资金或余额的，适用月度税率表计算纳税。</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w:t>
                        </w:r>
                        <w:r w:rsidRPr="00680831">
                          <w:rPr>
                            <w:rFonts w:ascii="宋体" w:hAnsi="宋体" w:cs="Arial" w:hint="eastAsia"/>
                            <w:b/>
                            <w:bCs/>
                            <w:kern w:val="0"/>
                            <w:sz w:val="24"/>
                            <w:szCs w:val="24"/>
                          </w:rPr>
                          <w:t>五、关于解除劳动关系、提前退休、内部退养的一次性补偿收</w:t>
                        </w:r>
                        <w:r w:rsidRPr="00680831">
                          <w:rPr>
                            <w:rFonts w:ascii="宋体" w:hAnsi="宋体" w:cs="Arial" w:hint="eastAsia"/>
                            <w:b/>
                            <w:bCs/>
                            <w:kern w:val="0"/>
                            <w:sz w:val="24"/>
                            <w:szCs w:val="24"/>
                          </w:rPr>
                          <w:lastRenderedPageBreak/>
                          <w:t>入的政策</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一）个人与用人单位解除劳动关系取得一次性补偿收入（包括用人单位发放的经济补偿金、生活补助费和其他补助费），在当地上年职工平均工资３倍数额以内的部分，免征个人所得税；超过3倍数额的部分，不并入当年综合所得，单独适用综合所得税率表，计算纳税。</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（二）个人办理提前退休手续而取得的一次性补贴收入，应按照办理提前退休手续至法定离退休年龄之间实际年度数平均分摊，确定适用税率和速算扣除数，单独适用综合所得税率表，计算纳税。计算公式：</w:t>
                        </w:r>
                        <w:r w:rsidRPr="00680831">
                          <w:rPr>
                            <w:rFonts w:ascii="宋体" w:hAnsi="宋体" w:cs="Arial" w:hint="eastAsia"/>
                            <w:kern w:val="0"/>
                            <w:sz w:val="24"/>
                            <w:szCs w:val="24"/>
                          </w:rPr>
                          <w:br/>
                          <w:t>应纳税额={〔（一次性补贴收入÷办理提前退休手续至法定退休年龄的实际年度数）－费用扣除标准〕×适用税率－速算扣除数}×办理提前退休手续至法定退休年龄的实际年度数</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（三）个人办理内部退养手续而取得的一次性补贴收入，按照《国家税务总局关于个人所得税有关政策问题的通知》（国税发〔1999〕58号）规定计算纳税。</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w:t>
                        </w:r>
                        <w:r w:rsidRPr="00680831">
                          <w:rPr>
                            <w:rFonts w:ascii="宋体" w:hAnsi="宋体" w:cs="Arial" w:hint="eastAsia"/>
                            <w:b/>
                            <w:bCs/>
                            <w:kern w:val="0"/>
                            <w:sz w:val="24"/>
                            <w:szCs w:val="24"/>
                          </w:rPr>
                          <w:t>六、关于单位低价向职工售房的政策</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单位按低于购置或建造成本价格出售住房给职工，职工因此而少支出的差价部分，符合《财政部 国家税务总局关于单位低价向职工售房有关个人所得税问题的通知》（财税〔2007〕13号）第二条规定的，不并入当年综合所得，以差价收入除以12个月得到的数额，按照月度税率表确定适用税率和速算扣除数，单独计算纳税。计算公式为：</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应纳税额＝职工实际支付的购房价款低于该房屋的购置或建造成本价格的差额×适用税率－速算扣除数</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w:t>
                        </w:r>
                        <w:r w:rsidRPr="00680831">
                          <w:rPr>
                            <w:rFonts w:ascii="宋体" w:hAnsi="宋体" w:cs="Arial" w:hint="eastAsia"/>
                            <w:b/>
                            <w:bCs/>
                            <w:kern w:val="0"/>
                            <w:sz w:val="24"/>
                            <w:szCs w:val="24"/>
                          </w:rPr>
                          <w:t>七、关于外籍个人有关津补贴的政策</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（一）2019年1月1日至2021年12月31日期间，外籍个人符合居民个人条件的，可以选择享受个人所得税专项附加扣除，也可以选择按照《财政部　国家税务总局关于个人所得税若干政策问题的通知》（财税〔1994〕20号）、《国家税务总局关于外籍个人取得有关补贴征免个人所得税执行问题的通知》（国税发〔1997〕54号）和《财政部 国家税务总局关于外籍个人取得港澳地区住房等补贴征免个人所得税的通知》（财税〔2004〕29号）规定，享受住房补贴、语言训练费、子女教育费等津补贴免税优惠政策，但不得同时享受。外籍个人一经选择，在一个纳税年度内不得变更。</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（二）自2022年1月1日起，外籍个人不再享受住房补贴、</w:t>
                        </w:r>
                        <w:r w:rsidRPr="00680831">
                          <w:rPr>
                            <w:rFonts w:ascii="宋体" w:hAnsi="宋体" w:cs="Arial" w:hint="eastAsia"/>
                            <w:kern w:val="0"/>
                            <w:sz w:val="24"/>
                            <w:szCs w:val="24"/>
                          </w:rPr>
                          <w:lastRenderedPageBreak/>
                          <w:t>语言训练费、子女教育费津补贴免税优惠政策，应按规定享受专项附加扣除。</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w:t>
                        </w:r>
                        <w:r w:rsidRPr="00680831">
                          <w:rPr>
                            <w:rFonts w:ascii="宋体" w:hAnsi="宋体" w:cs="Arial" w:hint="eastAsia"/>
                            <w:b/>
                            <w:bCs/>
                            <w:kern w:val="0"/>
                            <w:sz w:val="24"/>
                            <w:szCs w:val="24"/>
                          </w:rPr>
                          <w:t>八、除上述衔接事项外，其他个人所得税优惠政策继续按照原文件规定执行。</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w:t>
                        </w:r>
                        <w:r w:rsidRPr="00680831">
                          <w:rPr>
                            <w:rFonts w:ascii="宋体" w:hAnsi="宋体" w:cs="Arial" w:hint="eastAsia"/>
                            <w:b/>
                            <w:bCs/>
                            <w:kern w:val="0"/>
                            <w:sz w:val="24"/>
                            <w:szCs w:val="24"/>
                          </w:rPr>
                          <w:t>九、本通知自2019年1月1日起执行。</w:t>
                        </w:r>
                        <w:r w:rsidRPr="00680831">
                          <w:rPr>
                            <w:rFonts w:ascii="宋体" w:hAnsi="宋体" w:cs="Arial" w:hint="eastAsia"/>
                            <w:kern w:val="0"/>
                            <w:sz w:val="24"/>
                            <w:szCs w:val="24"/>
                          </w:rPr>
                          <w:t>下列文件或文件条款同时废止：</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（一）《财政部 国家税务总局关于个人与用人单位解除劳动关系取得的一次性补偿收入征免个人所得税问题的通知》（财税〔2001〕157号）第一条；</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（二）《财政部 国家税务总局关于个人股票期权所得征收个人所得税问题的通知》（财税〔2005〕35号）第四条第（一）项；</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（三）《财政部 国家税务总局关于单位低价向职工售房有关个人所得税问题的通知》（财税〔2007〕13号）第三条；</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（四）《财政部 人力资源社会保障部 国家税务总局关于企业年金职业年金个人所得税有关问题的通知》（财税〔2013〕103号）第三条第1项和第3项；</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（五）《国家税务总局关于个人认购股票等有价证券而从雇主取得折扣或补贴收入有关征收个人所得税问题的通知》（国税发〔1998〕9号）；</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（六）《国家税务总局关于保险企业营销员（非雇员）取得的收入计征个人所得税问题的通知》（国税发〔1998〕13号）；</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（七）《国家税务总局关于个人因解除劳动合同取得经济补偿金征收个人所得税问题的通知》（国税发〔1999〕178号）；</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（八）《国家税务总局关于国有企业职工因解除劳动合同取得一次性补偿收入征免个人所得税问题的通知》（国税发〔2000〕77号）；</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（九）《国家税务总局关于调整个人取得全年一次性奖金等计算征收个人所得税方法问题的通知》（国税发〔2005〕9号）第二条；</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（十）《国家税务总局关于保险营销员取得佣金收入征免个人所得税问题的通知》（国税函〔2006〕454号）；</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（十一）《国家税务总局关于个人股票期权所得缴纳个人所得税有关问题的补充通知》（国税函〔2006〕902号）第七条、第八</w:t>
                        </w:r>
                        <w:r w:rsidRPr="00680831">
                          <w:rPr>
                            <w:rFonts w:ascii="宋体" w:hAnsi="宋体" w:cs="Arial" w:hint="eastAsia"/>
                            <w:kern w:val="0"/>
                            <w:sz w:val="24"/>
                            <w:szCs w:val="24"/>
                          </w:rPr>
                          <w:lastRenderedPageBreak/>
                          <w:t>条；</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（十二）《国家税务总局关于中央企业负责人年度绩效薪金延期兑现收入和任期奖励征收个人所得税问题的通知》（国税发〔2007〕118号）第一条；</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（十三）《国家税务总局关于个人提前退休取得补贴收入个人所得税问题的公告》（国家税务总局公告2011年第6号）第二条；</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（十四）《国家税务总局关于证券经纪人佣金收入征收个人所得税问题的公告》（国家税务总局公告2012年第45号）。</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 xml:space="preserve">　　附件：按月换算后的综合所得税率表</w:t>
                        </w:r>
                      </w:p>
                      <w:p w:rsidR="003554FB" w:rsidRPr="00680831" w:rsidRDefault="003554FB" w:rsidP="00323086">
                        <w:pPr>
                          <w:widowControl/>
                          <w:spacing w:before="100" w:beforeAutospacing="1" w:after="240"/>
                          <w:jc w:val="right"/>
                          <w:rPr>
                            <w:rFonts w:ascii="宋体" w:hAnsi="宋体" w:cs="Arial" w:hint="eastAsia"/>
                            <w:kern w:val="0"/>
                            <w:sz w:val="24"/>
                            <w:szCs w:val="24"/>
                          </w:rPr>
                        </w:pPr>
                        <w:r w:rsidRPr="00680831">
                          <w:rPr>
                            <w:rFonts w:ascii="宋体" w:hAnsi="宋体" w:cs="Arial" w:hint="eastAsia"/>
                            <w:kern w:val="0"/>
                            <w:sz w:val="24"/>
                            <w:szCs w:val="24"/>
                          </w:rPr>
                          <w:t xml:space="preserve">　　财政部    税务总局</w:t>
                        </w:r>
                      </w:p>
                      <w:p w:rsidR="003554FB" w:rsidRPr="00680831" w:rsidRDefault="003554FB" w:rsidP="00323086">
                        <w:pPr>
                          <w:widowControl/>
                          <w:spacing w:before="100" w:beforeAutospacing="1" w:after="240"/>
                          <w:jc w:val="right"/>
                          <w:rPr>
                            <w:rFonts w:ascii="宋体" w:hAnsi="宋体" w:cs="Arial" w:hint="eastAsia"/>
                            <w:kern w:val="0"/>
                            <w:sz w:val="24"/>
                            <w:szCs w:val="24"/>
                          </w:rPr>
                        </w:pPr>
                        <w:r w:rsidRPr="00680831">
                          <w:rPr>
                            <w:rFonts w:ascii="宋体" w:hAnsi="宋体" w:cs="Arial" w:hint="eastAsia"/>
                            <w:kern w:val="0"/>
                            <w:sz w:val="24"/>
                            <w:szCs w:val="24"/>
                          </w:rPr>
                          <w:t xml:space="preserve">　　 2018年12月27日</w:t>
                        </w:r>
                      </w:p>
                      <w:p w:rsidR="003554FB" w:rsidRPr="00680831" w:rsidRDefault="003554FB" w:rsidP="00323086">
                        <w:pPr>
                          <w:widowControl/>
                          <w:spacing w:before="100" w:beforeAutospacing="1" w:after="240"/>
                          <w:jc w:val="left"/>
                          <w:rPr>
                            <w:rFonts w:ascii="宋体" w:hAnsi="宋体" w:cs="Arial" w:hint="eastAsia"/>
                            <w:kern w:val="0"/>
                            <w:sz w:val="24"/>
                            <w:szCs w:val="24"/>
                          </w:rPr>
                        </w:pPr>
                        <w:r w:rsidRPr="00680831">
                          <w:rPr>
                            <w:rFonts w:ascii="宋体" w:hAnsi="宋体" w:cs="Arial" w:hint="eastAsia"/>
                            <w:kern w:val="0"/>
                            <w:sz w:val="24"/>
                            <w:szCs w:val="24"/>
                          </w:rPr>
                          <w:t>附件</w:t>
                        </w:r>
                      </w:p>
                      <w:p w:rsidR="003554FB" w:rsidRPr="00680831" w:rsidRDefault="003554FB" w:rsidP="00323086">
                        <w:pPr>
                          <w:widowControl/>
                          <w:spacing w:before="100" w:beforeAutospacing="1"/>
                          <w:jc w:val="center"/>
                          <w:rPr>
                            <w:rFonts w:ascii="宋体" w:hAnsi="宋体" w:cs="Arial" w:hint="eastAsia"/>
                            <w:kern w:val="0"/>
                            <w:sz w:val="24"/>
                            <w:szCs w:val="24"/>
                          </w:rPr>
                        </w:pPr>
                        <w:r w:rsidRPr="00680831">
                          <w:rPr>
                            <w:rFonts w:ascii="宋体" w:hAnsi="宋体" w:cs="Arial" w:hint="eastAsia"/>
                            <w:kern w:val="0"/>
                            <w:sz w:val="24"/>
                            <w:szCs w:val="24"/>
                          </w:rPr>
                          <w:t xml:space="preserve">　　按月换算后的综合所得税率表</w:t>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893"/>
                          <w:gridCol w:w="3250"/>
                          <w:gridCol w:w="1319"/>
                          <w:gridCol w:w="1582"/>
                        </w:tblGrid>
                        <w:tr w:rsidR="003554FB" w:rsidRPr="00680831" w:rsidTr="00323086">
                          <w:tc>
                            <w:tcPr>
                              <w:tcW w:w="165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级数</w:t>
                              </w:r>
                            </w:p>
                          </w:tc>
                          <w:tc>
                            <w:tcPr>
                              <w:tcW w:w="6555"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全月应纳税所得额</w:t>
                              </w:r>
                            </w:p>
                          </w:tc>
                          <w:tc>
                            <w:tcPr>
                              <w:tcW w:w="216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税率（%）</w:t>
                              </w:r>
                            </w:p>
                          </w:tc>
                          <w:tc>
                            <w:tcPr>
                              <w:tcW w:w="276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速算扣除数</w:t>
                              </w:r>
                            </w:p>
                          </w:tc>
                        </w:tr>
                        <w:tr w:rsidR="003554FB" w:rsidRPr="00680831" w:rsidTr="00323086">
                          <w:tc>
                            <w:tcPr>
                              <w:tcW w:w="165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1</w:t>
                              </w:r>
                            </w:p>
                          </w:tc>
                          <w:tc>
                            <w:tcPr>
                              <w:tcW w:w="6555"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不超过3000元的</w:t>
                              </w:r>
                            </w:p>
                          </w:tc>
                          <w:tc>
                            <w:tcPr>
                              <w:tcW w:w="216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3</w:t>
                              </w:r>
                            </w:p>
                          </w:tc>
                          <w:tc>
                            <w:tcPr>
                              <w:tcW w:w="276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0</w:t>
                              </w:r>
                            </w:p>
                          </w:tc>
                        </w:tr>
                        <w:tr w:rsidR="003554FB" w:rsidRPr="00680831" w:rsidTr="00323086">
                          <w:tc>
                            <w:tcPr>
                              <w:tcW w:w="165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2</w:t>
                              </w:r>
                            </w:p>
                          </w:tc>
                          <w:tc>
                            <w:tcPr>
                              <w:tcW w:w="6555"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超过3000元至12000元的部分</w:t>
                              </w:r>
                            </w:p>
                          </w:tc>
                          <w:tc>
                            <w:tcPr>
                              <w:tcW w:w="216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10</w:t>
                              </w:r>
                            </w:p>
                          </w:tc>
                          <w:tc>
                            <w:tcPr>
                              <w:tcW w:w="276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210</w:t>
                              </w:r>
                            </w:p>
                          </w:tc>
                        </w:tr>
                        <w:tr w:rsidR="003554FB" w:rsidRPr="00680831" w:rsidTr="00323086">
                          <w:tc>
                            <w:tcPr>
                              <w:tcW w:w="165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3</w:t>
                              </w:r>
                            </w:p>
                          </w:tc>
                          <w:tc>
                            <w:tcPr>
                              <w:tcW w:w="6555"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超过12000元至25000元的部分</w:t>
                              </w:r>
                            </w:p>
                          </w:tc>
                          <w:tc>
                            <w:tcPr>
                              <w:tcW w:w="216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20</w:t>
                              </w:r>
                            </w:p>
                          </w:tc>
                          <w:tc>
                            <w:tcPr>
                              <w:tcW w:w="276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1410</w:t>
                              </w:r>
                            </w:p>
                          </w:tc>
                        </w:tr>
                        <w:tr w:rsidR="003554FB" w:rsidRPr="00680831" w:rsidTr="00323086">
                          <w:tc>
                            <w:tcPr>
                              <w:tcW w:w="165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4</w:t>
                              </w:r>
                            </w:p>
                          </w:tc>
                          <w:tc>
                            <w:tcPr>
                              <w:tcW w:w="6555"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超过25000元至35000元的部分</w:t>
                              </w:r>
                            </w:p>
                          </w:tc>
                          <w:tc>
                            <w:tcPr>
                              <w:tcW w:w="216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25</w:t>
                              </w:r>
                            </w:p>
                          </w:tc>
                          <w:tc>
                            <w:tcPr>
                              <w:tcW w:w="276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2660</w:t>
                              </w:r>
                            </w:p>
                          </w:tc>
                        </w:tr>
                        <w:tr w:rsidR="003554FB" w:rsidRPr="00680831" w:rsidTr="00323086">
                          <w:tc>
                            <w:tcPr>
                              <w:tcW w:w="165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5</w:t>
                              </w:r>
                            </w:p>
                          </w:tc>
                          <w:tc>
                            <w:tcPr>
                              <w:tcW w:w="6555"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超过35000元至55000元的部分</w:t>
                              </w:r>
                            </w:p>
                          </w:tc>
                          <w:tc>
                            <w:tcPr>
                              <w:tcW w:w="216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30</w:t>
                              </w:r>
                            </w:p>
                          </w:tc>
                          <w:tc>
                            <w:tcPr>
                              <w:tcW w:w="276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4410</w:t>
                              </w:r>
                            </w:p>
                          </w:tc>
                        </w:tr>
                        <w:tr w:rsidR="003554FB" w:rsidRPr="00680831" w:rsidTr="00323086">
                          <w:tc>
                            <w:tcPr>
                              <w:tcW w:w="165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6</w:t>
                              </w:r>
                            </w:p>
                          </w:tc>
                          <w:tc>
                            <w:tcPr>
                              <w:tcW w:w="6555"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超过55000元至80000元的部分</w:t>
                              </w:r>
                            </w:p>
                          </w:tc>
                          <w:tc>
                            <w:tcPr>
                              <w:tcW w:w="216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35</w:t>
                              </w:r>
                            </w:p>
                          </w:tc>
                          <w:tc>
                            <w:tcPr>
                              <w:tcW w:w="2760" w:type="dxa"/>
                              <w:tcBorders>
                                <w:top w:val="outset" w:sz="6" w:space="0" w:color="000000"/>
                                <w:left w:val="outset" w:sz="6" w:space="0" w:color="000000"/>
                                <w:bottom w:val="outset" w:sz="6" w:space="0" w:color="000000"/>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7160</w:t>
                              </w:r>
                            </w:p>
                          </w:tc>
                        </w:tr>
                        <w:tr w:rsidR="003554FB" w:rsidRPr="00680831" w:rsidTr="00323086">
                          <w:tc>
                            <w:tcPr>
                              <w:tcW w:w="1650" w:type="dxa"/>
                              <w:tcBorders>
                                <w:top w:val="outset" w:sz="6" w:space="0" w:color="000000"/>
                                <w:left w:val="outset" w:sz="6" w:space="0" w:color="000000"/>
                                <w:bottom w:val="single" w:sz="4" w:space="0" w:color="auto"/>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7</w:t>
                              </w:r>
                            </w:p>
                          </w:tc>
                          <w:tc>
                            <w:tcPr>
                              <w:tcW w:w="6555" w:type="dxa"/>
                              <w:tcBorders>
                                <w:top w:val="outset" w:sz="6" w:space="0" w:color="000000"/>
                                <w:left w:val="outset" w:sz="6" w:space="0" w:color="000000"/>
                                <w:bottom w:val="single" w:sz="4" w:space="0" w:color="auto"/>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超过80000元的部分</w:t>
                              </w:r>
                            </w:p>
                          </w:tc>
                          <w:tc>
                            <w:tcPr>
                              <w:tcW w:w="2160" w:type="dxa"/>
                              <w:tcBorders>
                                <w:top w:val="outset" w:sz="6" w:space="0" w:color="000000"/>
                                <w:left w:val="outset" w:sz="6" w:space="0" w:color="000000"/>
                                <w:bottom w:val="single" w:sz="4" w:space="0" w:color="auto"/>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45</w:t>
                              </w:r>
                            </w:p>
                          </w:tc>
                          <w:tc>
                            <w:tcPr>
                              <w:tcW w:w="2760" w:type="dxa"/>
                              <w:tcBorders>
                                <w:top w:val="outset" w:sz="6" w:space="0" w:color="000000"/>
                                <w:left w:val="outset" w:sz="6" w:space="0" w:color="000000"/>
                                <w:bottom w:val="single" w:sz="4" w:space="0" w:color="auto"/>
                                <w:right w:val="outset" w:sz="6" w:space="0" w:color="000000"/>
                              </w:tcBorders>
                              <w:hideMark/>
                            </w:tcPr>
                            <w:p w:rsidR="003554FB" w:rsidRPr="00680831" w:rsidRDefault="003554FB" w:rsidP="00323086">
                              <w:pPr>
                                <w:widowControl/>
                                <w:spacing w:before="100" w:beforeAutospacing="1" w:after="240"/>
                                <w:jc w:val="left"/>
                                <w:rPr>
                                  <w:rFonts w:ascii="宋体" w:hAnsi="宋体" w:cs="Arial"/>
                                  <w:kern w:val="0"/>
                                  <w:sz w:val="24"/>
                                  <w:szCs w:val="24"/>
                                </w:rPr>
                              </w:pPr>
                              <w:r w:rsidRPr="00680831">
                                <w:rPr>
                                  <w:rFonts w:ascii="宋体" w:hAnsi="宋体" w:cs="Arial" w:hint="eastAsia"/>
                                  <w:kern w:val="0"/>
                                  <w:sz w:val="24"/>
                                  <w:szCs w:val="24"/>
                                </w:rPr>
                                <w:t>15160</w:t>
                              </w:r>
                            </w:p>
                          </w:tc>
                        </w:tr>
                      </w:tbl>
                      <w:p w:rsidR="003554FB" w:rsidRPr="00680831" w:rsidRDefault="003554FB" w:rsidP="00323086">
                        <w:pPr>
                          <w:widowControl/>
                          <w:jc w:val="left"/>
                          <w:rPr>
                            <w:rFonts w:ascii="宋体" w:hAnsi="宋体" w:cs="Arial"/>
                            <w:kern w:val="0"/>
                            <w:sz w:val="24"/>
                            <w:szCs w:val="24"/>
                          </w:rPr>
                        </w:pPr>
                      </w:p>
                    </w:tc>
                  </w:tr>
                </w:tbl>
                <w:p w:rsidR="003554FB" w:rsidRPr="00680831" w:rsidRDefault="003554FB" w:rsidP="00323086">
                  <w:pPr>
                    <w:widowControl/>
                    <w:spacing w:line="432" w:lineRule="auto"/>
                    <w:jc w:val="center"/>
                    <w:rPr>
                      <w:rFonts w:ascii="Arial" w:hAnsi="Arial" w:cs="Arial"/>
                      <w:kern w:val="0"/>
                      <w:sz w:val="18"/>
                      <w:szCs w:val="18"/>
                    </w:rPr>
                  </w:pPr>
                </w:p>
              </w:tc>
            </w:tr>
          </w:tbl>
          <w:p w:rsidR="003554FB" w:rsidRPr="00680831" w:rsidRDefault="003554FB" w:rsidP="00323086">
            <w:pPr>
              <w:widowControl/>
              <w:spacing w:line="432" w:lineRule="auto"/>
              <w:jc w:val="left"/>
              <w:rPr>
                <w:rFonts w:ascii="Arial" w:hAnsi="Arial" w:cs="Arial"/>
                <w:kern w:val="0"/>
                <w:sz w:val="18"/>
                <w:szCs w:val="18"/>
              </w:rPr>
            </w:pPr>
          </w:p>
        </w:tc>
      </w:tr>
    </w:tbl>
    <w:p w:rsidR="003554FB" w:rsidRPr="009B0D5B" w:rsidRDefault="003554FB" w:rsidP="003554FB">
      <w:pPr>
        <w:widowControl/>
        <w:shd w:val="clear" w:color="auto" w:fill="FFFFFF"/>
        <w:ind w:firstLineChars="1550" w:firstLine="4650"/>
        <w:jc w:val="left"/>
        <w:rPr>
          <w:sz w:val="30"/>
          <w:szCs w:val="30"/>
        </w:rPr>
      </w:pPr>
    </w:p>
    <w:p w:rsidR="004358AB" w:rsidRDefault="004358AB" w:rsidP="00D31D50">
      <w:pPr>
        <w:spacing w:line="220" w:lineRule="atLeast"/>
      </w:pPr>
    </w:p>
    <w:sectPr w:rsidR="004358AB" w:rsidSect="001805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A68" w:rsidRPr="00637D41" w:rsidRDefault="00581A68" w:rsidP="003554FB">
      <w:pPr>
        <w:rPr>
          <w:rFonts w:ascii="Tahoma" w:eastAsia="仿宋_GB2312" w:hAnsi="Tahoma"/>
          <w:sz w:val="24"/>
          <w:szCs w:val="20"/>
        </w:rPr>
      </w:pPr>
      <w:r>
        <w:separator/>
      </w:r>
    </w:p>
  </w:endnote>
  <w:endnote w:type="continuationSeparator" w:id="0">
    <w:p w:rsidR="00581A68" w:rsidRPr="00637D41" w:rsidRDefault="00581A68" w:rsidP="003554FB">
      <w:pPr>
        <w:rPr>
          <w:rFonts w:ascii="Tahoma" w:eastAsia="仿宋_GB2312" w:hAnsi="Tahoma"/>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A68" w:rsidRPr="00637D41" w:rsidRDefault="00581A68" w:rsidP="003554FB">
      <w:pPr>
        <w:rPr>
          <w:rFonts w:ascii="Tahoma" w:eastAsia="仿宋_GB2312" w:hAnsi="Tahoma"/>
          <w:sz w:val="24"/>
          <w:szCs w:val="20"/>
        </w:rPr>
      </w:pPr>
      <w:r>
        <w:separator/>
      </w:r>
    </w:p>
  </w:footnote>
  <w:footnote w:type="continuationSeparator" w:id="0">
    <w:p w:rsidR="00581A68" w:rsidRPr="00637D41" w:rsidRDefault="00581A68" w:rsidP="003554FB">
      <w:pPr>
        <w:rPr>
          <w:rFonts w:ascii="Tahoma" w:eastAsia="仿宋_GB2312" w:hAnsi="Tahoma"/>
          <w:sz w:val="24"/>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554FB"/>
    <w:rsid w:val="003D37D8"/>
    <w:rsid w:val="00426133"/>
    <w:rsid w:val="004358AB"/>
    <w:rsid w:val="00581A68"/>
    <w:rsid w:val="008B7726"/>
    <w:rsid w:val="0097109E"/>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4FB"/>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54FB"/>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3554FB"/>
    <w:rPr>
      <w:rFonts w:ascii="Tahoma" w:hAnsi="Tahoma"/>
      <w:sz w:val="18"/>
      <w:szCs w:val="18"/>
    </w:rPr>
  </w:style>
  <w:style w:type="paragraph" w:styleId="a4">
    <w:name w:val="footer"/>
    <w:basedOn w:val="a"/>
    <w:link w:val="Char0"/>
    <w:uiPriority w:val="99"/>
    <w:semiHidden/>
    <w:unhideWhenUsed/>
    <w:rsid w:val="003554FB"/>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3554F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余海跃</cp:lastModifiedBy>
  <cp:revision>2</cp:revision>
  <dcterms:created xsi:type="dcterms:W3CDTF">2008-09-11T17:20:00Z</dcterms:created>
  <dcterms:modified xsi:type="dcterms:W3CDTF">2018-12-29T07:52:00Z</dcterms:modified>
</cp:coreProperties>
</file>